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jc w:val="center"/>
        <w:rPr>
          <w:rFonts w:hint="eastAsia" w:ascii="宋体" w:hAnsi="宋体" w:eastAsia="宋体" w:cs="宋体"/>
          <w:b/>
          <w:bCs w:val="0"/>
          <w:sz w:val="24"/>
          <w:szCs w:val="24"/>
          <w:bdr w:val="none" w:color="auto" w:sz="0" w:space="0"/>
          <w:lang w:val="en-US"/>
        </w:rPr>
      </w:pPr>
      <w:r>
        <w:rPr>
          <w:rFonts w:hint="eastAsia" w:ascii="Calibri" w:hAnsi="Calibri" w:eastAsia="宋体" w:cs="宋体"/>
          <w:b/>
          <w:bCs w:val="0"/>
          <w:kern w:val="0"/>
          <w:sz w:val="24"/>
          <w:szCs w:val="24"/>
          <w:bdr w:val="none" w:color="auto" w:sz="0" w:space="0"/>
          <w:lang w:val="en-US" w:eastAsia="zh-CN" w:bidi="ar"/>
        </w:rPr>
        <w:t>国家安全监管总局关于印发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jc w:val="center"/>
        <w:rPr>
          <w:rFonts w:hint="eastAsia" w:ascii="宋体" w:hAnsi="宋体" w:eastAsia="宋体" w:cs="宋体"/>
          <w:b/>
          <w:bCs w:val="0"/>
          <w:sz w:val="24"/>
          <w:szCs w:val="24"/>
          <w:bdr w:val="none" w:color="auto" w:sz="0" w:space="0"/>
          <w:lang w:val="en-US"/>
        </w:rPr>
      </w:pPr>
      <w:r>
        <w:rPr>
          <w:rFonts w:hint="eastAsia" w:ascii="Calibri" w:hAnsi="Calibri" w:eastAsia="宋体" w:cs="宋体"/>
          <w:b/>
          <w:bCs w:val="0"/>
          <w:kern w:val="0"/>
          <w:sz w:val="24"/>
          <w:szCs w:val="24"/>
          <w:bdr w:val="none" w:color="auto" w:sz="0" w:space="0"/>
          <w:lang w:val="en-US" w:eastAsia="zh-CN" w:bidi="ar"/>
        </w:rPr>
        <w:t>《化工（危险化学品）企业保障生产安全十条规定》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jc w:val="center"/>
        <w:rPr>
          <w:rFonts w:hint="eastAsia" w:ascii="宋体" w:hAnsi="宋体" w:eastAsia="宋体" w:cs="宋体"/>
          <w:b/>
          <w:bCs w:val="0"/>
          <w:sz w:val="24"/>
          <w:szCs w:val="24"/>
          <w:bdr w:val="none" w:color="auto" w:sz="0" w:space="0"/>
          <w:lang w:val="en-US"/>
        </w:rPr>
      </w:pPr>
      <w:r>
        <w:rPr>
          <w:rFonts w:hint="eastAsia" w:ascii="Calibri" w:hAnsi="Calibri" w:eastAsia="宋体" w:cs="宋体"/>
          <w:b/>
          <w:bCs w:val="0"/>
          <w:kern w:val="0"/>
          <w:sz w:val="24"/>
          <w:szCs w:val="24"/>
          <w:bdr w:val="none" w:color="auto" w:sz="0" w:space="0"/>
          <w:lang w:val="en-US" w:eastAsia="zh-CN" w:bidi="ar"/>
        </w:rPr>
        <w:t>《烟花爆竹企业保障生产安全十条规定》和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jc w:val="center"/>
        <w:rPr>
          <w:sz w:val="24"/>
          <w:szCs w:val="24"/>
        </w:rPr>
      </w:pPr>
      <w:r>
        <w:rPr>
          <w:rFonts w:hint="eastAsia" w:ascii="Calibri" w:hAnsi="Calibri" w:eastAsia="宋体" w:cs="宋体"/>
          <w:b/>
          <w:bCs w:val="0"/>
          <w:kern w:val="0"/>
          <w:sz w:val="24"/>
          <w:szCs w:val="24"/>
          <w:bdr w:val="none" w:color="auto" w:sz="0" w:space="0"/>
          <w:lang w:val="en-US" w:eastAsia="zh-CN" w:bidi="ar"/>
        </w:rPr>
        <w:t>《油气罐区防火防爆十条规定》的通知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jc w:val="center"/>
        <w:rPr>
          <w:rFonts w:hint="eastAsia" w:ascii="楷体_GB2312" w:hAnsi="Calibri" w:eastAsia="楷体_GB2312" w:cs="楷体_GB2312"/>
          <w:sz w:val="24"/>
          <w:szCs w:val="24"/>
          <w:bdr w:val="none" w:color="auto" w:sz="0" w:space="0"/>
          <w:lang w:val="en-US"/>
        </w:rPr>
      </w:pPr>
      <w:r>
        <w:rPr>
          <w:rFonts w:ascii="楷体_GB2312" w:hAnsi="Calibri" w:eastAsia="楷体_GB2312" w:cs="楷体_GB2312"/>
          <w:kern w:val="0"/>
          <w:sz w:val="24"/>
          <w:szCs w:val="24"/>
          <w:bdr w:val="none" w:color="auto" w:sz="0" w:space="0"/>
          <w:lang w:val="en-US" w:eastAsia="zh-CN" w:bidi="ar"/>
        </w:rPr>
        <w:t>安监总政法</w:t>
      </w:r>
      <w:r>
        <w:rPr>
          <w:rFonts w:hint="eastAsia" w:ascii="宋体" w:hAnsi="宋体" w:eastAsia="宋体" w:cs="宋体"/>
          <w:kern w:val="0"/>
          <w:sz w:val="24"/>
          <w:szCs w:val="24"/>
          <w:bdr w:val="none" w:color="auto" w:sz="0" w:space="0"/>
          <w:lang w:val="en-US" w:eastAsia="zh-CN" w:bidi="ar"/>
        </w:rPr>
        <w:t>﹝</w:t>
      </w:r>
      <w:r>
        <w:rPr>
          <w:rFonts w:hint="eastAsia" w:ascii="楷体_GB2312" w:hAnsi="Calibri" w:eastAsia="楷体_GB2312" w:cs="楷体_GB2312"/>
          <w:kern w:val="0"/>
          <w:sz w:val="24"/>
          <w:szCs w:val="24"/>
          <w:bdr w:val="none" w:color="auto" w:sz="0" w:space="0"/>
          <w:lang w:val="en-US" w:eastAsia="zh-CN" w:bidi="ar"/>
        </w:rPr>
        <w:t>2017</w:t>
      </w:r>
      <w:r>
        <w:rPr>
          <w:rFonts w:hint="eastAsia" w:ascii="宋体" w:hAnsi="宋体" w:eastAsia="宋体" w:cs="宋体"/>
          <w:kern w:val="0"/>
          <w:sz w:val="24"/>
          <w:szCs w:val="24"/>
          <w:bdr w:val="none" w:color="auto" w:sz="0" w:space="0"/>
          <w:lang w:val="en-US" w:eastAsia="zh-CN" w:bidi="ar"/>
        </w:rPr>
        <w:t>﹞</w:t>
      </w:r>
      <w:r>
        <w:rPr>
          <w:rFonts w:hint="eastAsia" w:ascii="楷体_GB2312" w:hAnsi="Calibri" w:eastAsia="楷体_GB2312" w:cs="楷体_GB2312"/>
          <w:kern w:val="0"/>
          <w:sz w:val="24"/>
          <w:szCs w:val="24"/>
          <w:bdr w:val="none" w:color="auto" w:sz="0" w:space="0"/>
          <w:lang w:val="en-US" w:eastAsia="zh-CN" w:bidi="ar"/>
        </w:rPr>
        <w:t>15号</w:t>
      </w:r>
    </w:p>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各省、自治区、直辖市及新疆生产建设兵团安全生产监督管理局：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现将《</w:t>
      </w:r>
      <w:bookmarkStart w:id="0" w:name="_GoBack"/>
      <w:bookmarkEnd w:id="0"/>
      <w:r>
        <w:rPr>
          <w:rFonts w:hint="eastAsia" w:ascii="Calibri" w:hAnsi="Calibri" w:eastAsia="宋体" w:cs="宋体"/>
          <w:kern w:val="0"/>
          <w:sz w:val="24"/>
          <w:szCs w:val="24"/>
          <w:bdr w:val="none" w:color="auto" w:sz="0" w:space="0"/>
          <w:lang w:val="en-US" w:eastAsia="zh-CN" w:bidi="ar"/>
        </w:rPr>
        <w:t>化工（危险化学品）企业保障生产安全十条规定》《烟花爆竹企业保障生产安全十条规定》和《油气罐区防火防爆十条规定》印发给你们，请认真贯彻执行。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default" w:ascii="Calibri" w:hAnsi="Calibri" w:eastAsia="宋体" w:cs="Calibri"/>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国家安全监管总局</w:t>
      </w:r>
      <w:r>
        <w:rPr>
          <w:rFonts w:hint="default" w:ascii="Calibri" w:hAnsi="Calibri" w:eastAsia="宋体" w:cs="Calibri"/>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default" w:ascii="Calibri" w:hAnsi="Calibri" w:eastAsia="宋体" w:cs="Calibri"/>
          <w:sz w:val="24"/>
          <w:szCs w:val="24"/>
          <w:bdr w:val="none" w:color="auto" w:sz="0" w:space="0"/>
          <w:lang w:val="en-US"/>
        </w:rPr>
      </w:pPr>
      <w:r>
        <w:rPr>
          <w:rFonts w:hint="default" w:ascii="Calibri" w:hAnsi="Calibri" w:eastAsia="宋体" w:cs="Calibri"/>
          <w:kern w:val="0"/>
          <w:sz w:val="24"/>
          <w:szCs w:val="24"/>
          <w:bdr w:val="none" w:color="auto" w:sz="0" w:space="0"/>
          <w:lang w:val="en-US" w:eastAsia="zh-CN" w:bidi="ar"/>
        </w:rPr>
        <w:t>2017</w:t>
      </w:r>
      <w:r>
        <w:rPr>
          <w:rFonts w:hint="eastAsia" w:ascii="Calibri" w:hAnsi="Calibri" w:eastAsia="宋体" w:cs="宋体"/>
          <w:kern w:val="0"/>
          <w:sz w:val="24"/>
          <w:szCs w:val="24"/>
          <w:bdr w:val="none" w:color="auto" w:sz="0" w:space="0"/>
          <w:lang w:val="en-US" w:eastAsia="zh-CN" w:bidi="ar"/>
        </w:rPr>
        <w:t>年</w:t>
      </w:r>
      <w:r>
        <w:rPr>
          <w:rFonts w:hint="default" w:ascii="Calibri" w:hAnsi="Calibri" w:eastAsia="宋体" w:cs="Calibri"/>
          <w:kern w:val="0"/>
          <w:sz w:val="24"/>
          <w:szCs w:val="24"/>
          <w:bdr w:val="none" w:color="auto" w:sz="0" w:space="0"/>
          <w:lang w:val="en-US" w:eastAsia="zh-CN" w:bidi="ar"/>
        </w:rPr>
        <w:t>3</w:t>
      </w:r>
      <w:r>
        <w:rPr>
          <w:rFonts w:hint="eastAsia" w:ascii="Calibri" w:hAnsi="Calibri" w:eastAsia="宋体" w:cs="宋体"/>
          <w:kern w:val="0"/>
          <w:sz w:val="24"/>
          <w:szCs w:val="24"/>
          <w:bdr w:val="none" w:color="auto" w:sz="0" w:space="0"/>
          <w:lang w:val="en-US" w:eastAsia="zh-CN" w:bidi="ar"/>
        </w:rPr>
        <w:t>月</w:t>
      </w:r>
      <w:r>
        <w:rPr>
          <w:rFonts w:hint="default" w:ascii="Calibri" w:hAnsi="Calibri" w:eastAsia="宋体" w:cs="Calibri"/>
          <w:kern w:val="0"/>
          <w:sz w:val="24"/>
          <w:szCs w:val="24"/>
          <w:bdr w:val="none" w:color="auto" w:sz="0" w:space="0"/>
          <w:lang w:val="en-US" w:eastAsia="zh-CN" w:bidi="ar"/>
        </w:rPr>
        <w:t>6</w:t>
      </w:r>
      <w:r>
        <w:rPr>
          <w:rFonts w:hint="eastAsia" w:ascii="Calibri" w:hAnsi="Calibri" w:eastAsia="宋体" w:cs="宋体"/>
          <w:kern w:val="0"/>
          <w:sz w:val="24"/>
          <w:szCs w:val="24"/>
          <w:bdr w:val="none" w:color="auto" w:sz="0" w:space="0"/>
          <w:lang w:val="en-US" w:eastAsia="zh-CN" w:bidi="ar"/>
        </w:rPr>
        <w:t>日</w:t>
      </w:r>
      <w:r>
        <w:rPr>
          <w:rFonts w:hint="default" w:ascii="Calibri" w:hAnsi="Calibri" w:eastAsia="宋体" w:cs="Calibri"/>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jc w:val="left"/>
        <w:rPr>
          <w:rFonts w:hint="eastAsia" w:ascii="宋体" w:hAnsi="宋体" w:eastAsia="宋体" w:cs="宋体"/>
          <w:b/>
          <w:bCs w:val="0"/>
          <w:sz w:val="24"/>
          <w:szCs w:val="24"/>
          <w:bdr w:val="none" w:color="auto" w:sz="0" w:space="0"/>
          <w:lang w:val="en-US"/>
        </w:rPr>
      </w:pPr>
      <w:r>
        <w:rPr>
          <w:rFonts w:hint="eastAsia" w:ascii="Calibri" w:hAnsi="Calibri" w:eastAsia="宋体" w:cs="宋体"/>
          <w:b/>
          <w:bCs w:val="0"/>
          <w:kern w:val="0"/>
          <w:sz w:val="24"/>
          <w:szCs w:val="24"/>
          <w:bdr w:val="none" w:color="auto" w:sz="0" w:space="0"/>
          <w:lang w:val="en-US" w:eastAsia="zh-CN" w:bidi="ar"/>
        </w:rPr>
        <w:t>化工（危险化学品）企业保障生产安全十条规定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一、必须依法设立、证照齐全有效。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二、必须建立健全并严格落实全员安全生产责任制，严格执行领导带班值班制度。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三、必须确保从业人员符合录用条件并培训合格，依法持证上岗。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四、必须严格管控重大危险源，严格变更管理，遇险科学施救。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五、必须按照《危险化学品企业事故隐患排查治理实施导则》要求排查治理隐患。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六、严禁设备设施带病运行和未经审批停用报警联锁系统。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七、严禁可燃和有毒气体泄漏等报警系统处于非正常状态。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八、严禁未经审批进行动火、受限空间、高处、吊装、临时用电、动土、检维修、盲板抽堵等作业。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九、严禁违章指挥和强令他人冒险作业。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十、严禁违章作业、脱岗和在岗做与工作无关的事。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jc w:val="left"/>
        <w:rPr>
          <w:rFonts w:hint="eastAsia" w:ascii="宋体" w:hAnsi="宋体" w:eastAsia="宋体" w:cs="宋体"/>
          <w:b/>
          <w:bCs w:val="0"/>
          <w:sz w:val="24"/>
          <w:szCs w:val="24"/>
          <w:bdr w:val="none" w:color="auto" w:sz="0" w:space="0"/>
          <w:lang w:val="en-US"/>
        </w:rPr>
      </w:pPr>
      <w:r>
        <w:rPr>
          <w:rFonts w:hint="eastAsia" w:ascii="Calibri" w:hAnsi="Calibri" w:eastAsia="宋体" w:cs="宋体"/>
          <w:b/>
          <w:bCs w:val="0"/>
          <w:kern w:val="0"/>
          <w:sz w:val="24"/>
          <w:szCs w:val="24"/>
          <w:bdr w:val="none" w:color="auto" w:sz="0" w:space="0"/>
          <w:lang w:val="en-US" w:eastAsia="zh-CN" w:bidi="ar"/>
        </w:rPr>
        <w:t>烟花爆竹企业保障生产安全十条规定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一、必须依法设立、证照齐全有效。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二、必须确保防爆、防火、防雷、防静电设施完备。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三、必须确保中转库、药物总库和成品总库满足生产安全需要。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四、必须落实领导值班和职工进出厂登记制度。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五、必须确保全员培训合格和危险工序持证上岗。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六、严禁转包分包、委托加工和违规使用氯酸钾。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七、严禁超范围、超人员、超药量和擅自改变工房用途。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八、严禁高温、雷雨天气生产作业。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九、严禁违规检维修作业和边施工边生产。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十、严禁串岗和无关人员进入厂区。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jc w:val="left"/>
        <w:rPr>
          <w:rFonts w:hint="eastAsia" w:ascii="宋体" w:hAnsi="宋体" w:eastAsia="宋体" w:cs="宋体"/>
          <w:b/>
          <w:bCs w:val="0"/>
          <w:sz w:val="24"/>
          <w:szCs w:val="24"/>
          <w:bdr w:val="none" w:color="auto" w:sz="0" w:space="0"/>
          <w:lang w:val="en-US"/>
        </w:rPr>
      </w:pPr>
      <w:r>
        <w:rPr>
          <w:rFonts w:hint="eastAsia" w:ascii="Calibri" w:hAnsi="Calibri" w:eastAsia="宋体" w:cs="宋体"/>
          <w:b/>
          <w:bCs w:val="0"/>
          <w:kern w:val="0"/>
          <w:sz w:val="24"/>
          <w:szCs w:val="24"/>
          <w:bdr w:val="none" w:color="auto" w:sz="0" w:space="0"/>
          <w:lang w:val="en-US" w:eastAsia="zh-CN" w:bidi="ar"/>
        </w:rPr>
        <w:t>油气罐区防火防爆十条规定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一、严禁油气储罐超温、超压、超液位操作和随意变更储存介质。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二、严禁在油气罐区手动切水、切罐、装卸车时作业人员离开现场。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三、严禁关闭在用油气储罐安全阀切断阀和在泄压排放系统加盲板。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四、严禁停用油气罐区温度、压力、液位、可燃及有毒气体报警和联锁系统。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五、严禁未进行气体检测和办理作业许可证，在油气罐区动火或进入受限空间作业。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六、严禁内浮顶储罐运行中浮盘落底。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七、严禁向油气储罐或与储罐连接管道中直接添加性质不明或能发生剧烈反应的物质。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八、严禁在油气罐区使用非防爆照明、电气设施、工器具和电子器材。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九、严禁培训不合格人员和无相关资质承包商进入油气罐区作业，未经许可机动车辆及外来人员不得进入罐区。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Lines="100" w:afterAutospacing="0" w:line="560" w:lineRule="exact"/>
        <w:ind w:left="0" w:right="0" w:firstLine="640" w:firstLineChars="200"/>
        <w:jc w:val="left"/>
        <w:rPr>
          <w:rFonts w:hint="eastAsia" w:ascii="宋体" w:hAnsi="宋体" w:eastAsia="宋体" w:cs="宋体"/>
          <w:sz w:val="24"/>
          <w:szCs w:val="24"/>
          <w:bdr w:val="none" w:color="auto" w:sz="0" w:space="0"/>
          <w:lang w:val="en-US"/>
        </w:rPr>
      </w:pPr>
      <w:r>
        <w:rPr>
          <w:rFonts w:hint="eastAsia" w:ascii="Calibri" w:hAnsi="Calibri" w:eastAsia="宋体" w:cs="宋体"/>
          <w:kern w:val="0"/>
          <w:sz w:val="24"/>
          <w:szCs w:val="24"/>
          <w:bdr w:val="none" w:color="auto" w:sz="0" w:space="0"/>
          <w:lang w:val="en-US" w:eastAsia="zh-CN" w:bidi="ar"/>
        </w:rPr>
        <w:t>十、严禁油气罐区设备设施不完好或带病运行。</w:t>
      </w:r>
    </w:p>
    <w:p>
      <w:pPr>
        <w:jc w:val="lef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RomanS"/>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RomanS">
    <w:panose1 w:val="02000400000000000000"/>
    <w:charset w:val="00"/>
    <w:family w:val="auto"/>
    <w:pitch w:val="default"/>
    <w:sig w:usb0="00000207" w:usb1="00000000" w:usb2="00000000" w:usb3="00000000" w:csb0="000001FF" w:csb1="00000000"/>
  </w:font>
  <w:font w:name="Arial Rounded MT Bold">
    <w:panose1 w:val="020F0704030504030204"/>
    <w:charset w:val="00"/>
    <w:family w:val="auto"/>
    <w:pitch w:val="default"/>
    <w:sig w:usb0="00000003" w:usb1="00000000" w:usb2="00000000" w:usb3="00000000" w:csb0="2000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B0B12"/>
    <w:rsid w:val="613B0B1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000000"/>
      <w:u w:val="none"/>
    </w:rPr>
  </w:style>
  <w:style w:type="character" w:styleId="4">
    <w:name w:val="HTML Definition"/>
    <w:basedOn w:val="2"/>
    <w:uiPriority w:val="0"/>
  </w:style>
  <w:style w:type="character" w:styleId="5">
    <w:name w:val="HTML Variable"/>
    <w:basedOn w:val="2"/>
    <w:uiPriority w:val="0"/>
  </w:style>
  <w:style w:type="character" w:styleId="6">
    <w:name w:val="Hyperlink"/>
    <w:basedOn w:val="2"/>
    <w:uiPriority w:val="0"/>
    <w:rPr>
      <w:color w:val="000000"/>
      <w:u w:val="none"/>
    </w:rPr>
  </w:style>
  <w:style w:type="character" w:styleId="7">
    <w:name w:val="HTML Code"/>
    <w:basedOn w:val="2"/>
    <w:uiPriority w:val="0"/>
    <w:rPr>
      <w:rFonts w:ascii="Courier New" w:hAnsi="Courier New"/>
      <w:sz w:val="20"/>
    </w:rPr>
  </w:style>
  <w:style w:type="character" w:styleId="8">
    <w:name w:val="HTML Cite"/>
    <w:basedOn w:val="2"/>
    <w:uiPriority w:val="0"/>
  </w:style>
  <w:style w:type="character" w:customStyle="1" w:styleId="10">
    <w:name w:val="on"/>
    <w:basedOn w:val="2"/>
    <w:uiPriority w:val="0"/>
    <w:rPr>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2017-03-23T07:36:00Z</dcterms:created>
  <dc:creator>Administrator</dc:creator>
  <cp:lastModifiedBy>Administrator</cp:lastModifiedBy>
  <dcterms:modified xsi:type="dcterms:W3CDTF">2017-03-23T07:41:01Z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